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6"/>
      </w:tblGrid>
      <w:tr w:rsidR="00FE557C" w:rsidRPr="00D91847" w14:paraId="27F77C93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0180D454" w14:textId="77777777" w:rsidR="00FE557C" w:rsidRPr="00AC2CD0" w:rsidRDefault="00FE557C" w:rsidP="0082001A">
            <w:pPr>
              <w:pStyle w:val="NormalWeb"/>
              <w:jc w:val="center"/>
              <w:rPr>
                <w:rFonts w:ascii="TimesNewRomanPS" w:hAnsi="TimesNewRomanPS"/>
                <w:b/>
                <w:i/>
                <w:iCs/>
                <w:sz w:val="28"/>
                <w:szCs w:val="28"/>
              </w:rPr>
            </w:pPr>
            <w:r w:rsidRPr="00AC2CD0">
              <w:rPr>
                <w:rFonts w:ascii="TimesNewRomanPS" w:hAnsi="TimesNewRomanPS"/>
                <w:b/>
                <w:i/>
                <w:iCs/>
                <w:sz w:val="28"/>
                <w:szCs w:val="28"/>
              </w:rPr>
              <w:t xml:space="preserve">  Попередження </w:t>
            </w:r>
          </w:p>
          <w:p w14:paraId="465E3A83" w14:textId="77777777" w:rsidR="00FE557C" w:rsidRPr="00D91847" w:rsidRDefault="00FE557C" w:rsidP="0082001A">
            <w:pPr>
              <w:pStyle w:val="NormalWeb"/>
              <w:jc w:val="center"/>
              <w:rPr>
                <w:rFonts w:ascii="TimesNewRomanPS" w:hAnsi="TimesNewRomanPS"/>
                <w:i/>
                <w:iCs/>
                <w:sz w:val="28"/>
                <w:szCs w:val="28"/>
              </w:rPr>
            </w:pPr>
            <w:r w:rsidRPr="00AC2CD0">
              <w:rPr>
                <w:rFonts w:ascii="TimesNewRomanPS" w:hAnsi="TimesNewRomanPS"/>
                <w:b/>
                <w:i/>
                <w:iCs/>
                <w:sz w:val="28"/>
                <w:szCs w:val="28"/>
              </w:rPr>
              <w:t>про можливі наслідки для споживача в разі користування споживчим кредитом або невиконання ним обов’язків згідно з договором про надання позики, в тому числі на умовах фінансового кредиту:</w:t>
            </w:r>
          </w:p>
        </w:tc>
      </w:tr>
      <w:tr w:rsidR="00FE557C" w14:paraId="3554AC81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5C72CF32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</w:p>
          <w:p w14:paraId="3B83890E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У разі користування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Кредитом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Споживач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бере на себе обов’язок повернути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К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редит у встановлені Договором строки та сплатити проценти за користування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К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>редитом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  <w:lang w:val="ru-RU"/>
              </w:rPr>
              <w:t>.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</w:t>
            </w:r>
          </w:p>
          <w:p w14:paraId="402DBA66" w14:textId="77777777" w:rsidR="00FE557C" w:rsidRDefault="00FE557C" w:rsidP="0082001A">
            <w:pPr>
              <w:pStyle w:val="NormalWeb"/>
              <w:jc w:val="both"/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E557C" w14:paraId="7183955C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0C6A955A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>Порушення вико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нання Споживачем обов’язків за Д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оговором може призвести до припинення дії акційних пропозицій та/або програм лояльності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  <w:lang w:val="ru-RU"/>
              </w:rPr>
              <w:t>Товариства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(за їх наявності).</w:t>
            </w:r>
          </w:p>
          <w:p w14:paraId="6FF051EB" w14:textId="77777777" w:rsidR="00FE557C" w:rsidRPr="00D91847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</w:p>
        </w:tc>
      </w:tr>
      <w:tr w:rsidR="00FE557C" w14:paraId="14A071B2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6005E753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>
              <w:rPr>
                <w:rFonts w:ascii="TimesNewRomanPS" w:hAnsi="TimesNewRomanPS"/>
                <w:b/>
                <w:bCs/>
                <w:sz w:val="28"/>
                <w:szCs w:val="28"/>
                <w:lang w:val="ru-RU"/>
              </w:rPr>
              <w:t>У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випадку невиконання та/або неналежного виконання Споживачем зобов’язань щодо повернення суми кредиту та/або сплати процентів за користування кредитом, Споживач зобов’язаний сплатити Товариству штраф у розмірі, що встановлюється в абсолютному значені в договорі про надання позики, в тому числі на умовах фінансового кредиту.</w:t>
            </w:r>
          </w:p>
          <w:p w14:paraId="5D885390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Згідно діючої типової форми договору про надання позики, в тому числі на умовах фінансового кредиту, - штраф (пеня, неустойка) до Споживача не застосовуються. </w:t>
            </w:r>
          </w:p>
          <w:p w14:paraId="51FA912E" w14:textId="77777777" w:rsidR="00FE557C" w:rsidRPr="00D91847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</w:p>
        </w:tc>
      </w:tr>
      <w:tr w:rsidR="00FE557C" w14:paraId="60FE2DFB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6A36874A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Порушення виконання зобов’язання щодо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К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редиту може вплинути на кредитну історію та ускладнити отримання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К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>редиту на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далі.</w:t>
            </w:r>
          </w:p>
          <w:p w14:paraId="48F1029D" w14:textId="77777777" w:rsidR="00FE557C" w:rsidRPr="00AC2CD0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</w:p>
        </w:tc>
      </w:tr>
      <w:tr w:rsidR="00FE557C" w14:paraId="2FC6A5AF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1236D412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Для прийняття усвідомленого рішення щодо отримання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К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>р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едиту на запропонованих умовах С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поживач має право розглянути альтернативні різновиди споживчих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кредитів та фінансових установ.</w:t>
            </w:r>
          </w:p>
          <w:p w14:paraId="5C7280DE" w14:textId="77777777" w:rsidR="00FE557C" w:rsidRPr="00D91847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</w:p>
        </w:tc>
      </w:tr>
      <w:tr w:rsidR="00FE557C" w14:paraId="2A850F95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72CEE6AA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>
              <w:rPr>
                <w:rFonts w:ascii="TimesNewRomanPS" w:hAnsi="TimesNewRomanPS"/>
                <w:b/>
                <w:bCs/>
                <w:sz w:val="28"/>
                <w:szCs w:val="28"/>
                <w:lang w:val="ru-RU"/>
              </w:rPr>
              <w:t>Товариство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має право вносити зміни до укладених зі споживачами 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lastRenderedPageBreak/>
              <w:t>договорів про споживчий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кредит тільки за згодою сторін.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</w:t>
            </w:r>
          </w:p>
          <w:p w14:paraId="0673FB87" w14:textId="77777777" w:rsidR="00FE557C" w:rsidRPr="00D91847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</w:p>
        </w:tc>
      </w:tr>
      <w:tr w:rsidR="00FE557C" w14:paraId="5503717B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4DB3A10B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lastRenderedPageBreak/>
              <w:t xml:space="preserve">У Споживача є можливість відмовитися від отримання рекламних матеріалів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каналами 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>ди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станційного електронного обслуговування.</w:t>
            </w:r>
          </w:p>
          <w:p w14:paraId="7F35FBA2" w14:textId="77777777" w:rsidR="00FE557C" w:rsidRPr="00D91847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</w:p>
        </w:tc>
      </w:tr>
      <w:tr w:rsidR="00FE557C" w14:paraId="375F5889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002570A7" w14:textId="77777777" w:rsidR="00FE557C" w:rsidRPr="00D91847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Можливі витрати на сплату С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поживачем платежів за користування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Кредитом залежать від обраного Споживачем способу сплати.</w:t>
            </w:r>
          </w:p>
        </w:tc>
      </w:tr>
      <w:tr w:rsidR="00FE557C" w14:paraId="29907DD8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5FD45D81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 w:rsidRPr="00F51F4E">
              <w:rPr>
                <w:rFonts w:ascii="TimesNewRomanPS" w:hAnsi="TimesNewRomanPS"/>
                <w:b/>
                <w:bCs/>
                <w:sz w:val="28"/>
                <w:szCs w:val="28"/>
              </w:rPr>
              <w:t>Товариству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забороняється вимагати від С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поживача придбання будь-яких товарів чи послуг від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  <w:lang w:val="ru-RU"/>
              </w:rPr>
              <w:t>Товариства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або спорідненої чи пов’язаної з ним особи як обов’язкову умову надання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К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редиту. </w:t>
            </w:r>
          </w:p>
          <w:p w14:paraId="71140F01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</w:p>
        </w:tc>
      </w:tr>
      <w:tr w:rsidR="00FE557C" w14:paraId="2677024D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27389146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>
              <w:rPr>
                <w:rFonts w:ascii="TimesNewRomanPS" w:hAnsi="TimesNewRomanPS"/>
                <w:b/>
                <w:bCs/>
                <w:sz w:val="28"/>
                <w:szCs w:val="28"/>
                <w:lang w:val="ru-RU"/>
              </w:rPr>
              <w:t>Споживач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попереджений, що у випадку неналежного виконання зобов’язань за Договором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  <w:lang w:val="ru-RU"/>
              </w:rPr>
              <w:t>Товариство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має право без згоди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  <w:lang w:val="ru-RU"/>
              </w:rPr>
              <w:t>Споживача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передати свої права кредитора (відступити право вимоги) за Договором, залучити колекторську компанію до врегулювання простроченої заборгованості, або звернутися до суду для примусового стягнення заборгованості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.</w:t>
            </w:r>
          </w:p>
          <w:p w14:paraId="402A010C" w14:textId="77777777" w:rsidR="00FE557C" w:rsidRPr="00D91847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</w:p>
        </w:tc>
      </w:tr>
      <w:tr w:rsidR="00FE557C" w14:paraId="70756129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3EA00EC0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</w:rPr>
            </w:pPr>
            <w:r>
              <w:rPr>
                <w:rFonts w:ascii="TimesNewRomanPS" w:hAnsi="TimesNewRomanPS"/>
                <w:b/>
                <w:bCs/>
                <w:sz w:val="28"/>
                <w:szCs w:val="28"/>
                <w:lang w:val="ru-RU"/>
              </w:rPr>
              <w:t>Споживач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надав 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  <w:lang w:val="ru-RU"/>
              </w:rPr>
              <w:t>Товариству</w:t>
            </w:r>
            <w:r w:rsidRPr="00D91847">
              <w:rPr>
                <w:rFonts w:ascii="TimesNewRomanPS" w:hAnsi="TimesNewRomanPS"/>
                <w:b/>
                <w:bCs/>
                <w:sz w:val="28"/>
                <w:szCs w:val="28"/>
              </w:rPr>
              <w:t xml:space="preserve"> (його довіреним особам та/або третім особам) дозвіл телефонувати та/або направляти йому інформаційні повідомлення, вимоги про сплату, та використовувати для цього будь-які доступні канали зв'язку з Позичальником, включаючи телефон, акаунти, електронну пошт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</w:rPr>
              <w:t>у.</w:t>
            </w:r>
          </w:p>
          <w:p w14:paraId="1D62C03B" w14:textId="77777777" w:rsidR="00FE557C" w:rsidRDefault="00FE557C" w:rsidP="0082001A">
            <w:pPr>
              <w:pStyle w:val="NormalWeb"/>
              <w:jc w:val="both"/>
              <w:rPr>
                <w:rFonts w:ascii="TimesNewRomanPS" w:hAnsi="TimesNewRomanPS"/>
                <w:b/>
                <w:bCs/>
                <w:sz w:val="28"/>
                <w:szCs w:val="28"/>
                <w:lang w:val="ru-RU"/>
              </w:rPr>
            </w:pPr>
          </w:p>
        </w:tc>
      </w:tr>
      <w:tr w:rsidR="00FE557C" w14:paraId="1AC23C6B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621D57E8" w14:textId="77777777" w:rsidR="00FE557C" w:rsidRPr="00050907" w:rsidRDefault="00FE557C" w:rsidP="0082001A">
            <w:pPr>
              <w:tabs>
                <w:tab w:val="left" w:pos="-810"/>
                <w:tab w:val="left" w:pos="0"/>
                <w:tab w:val="left" w:pos="9360"/>
              </w:tabs>
              <w:spacing w:before="59" w:line="235" w:lineRule="auto"/>
              <w:ind w:right="90"/>
              <w:jc w:val="both"/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eastAsia="ru-RU"/>
              </w:rPr>
            </w:pPr>
            <w:r w:rsidRPr="00050907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eastAsia="ru-RU"/>
              </w:rPr>
              <w:t>Якщо Споживач має намір після пільгового періоду/наступного пільгового періоду скористатися  пільговою процентною ставкою, - то він втратить таке право у випадку несвоєчасного погашення процентів за відповідний пільговий період /наступний пільговий період користування Кредитом. Сторони за спільною згодою можуть у Додатковому договорі визначити можливість користування Споживачем пільговою процентною ставкою повторно і у випадках прострочення з боку Споживача.</w:t>
            </w:r>
            <w:r w:rsidRPr="006E34D0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557C" w14:paraId="69BA7C67" w14:textId="77777777" w:rsidTr="0082001A">
        <w:tc>
          <w:tcPr>
            <w:tcW w:w="10316" w:type="dxa"/>
            <w:tcBorders>
              <w:top w:val="thinThickMediumGap" w:sz="24" w:space="0" w:color="000000"/>
              <w:left w:val="thinThickMediumGap" w:sz="24" w:space="0" w:color="000000"/>
              <w:bottom w:val="thinThickMediumGap" w:sz="24" w:space="0" w:color="000000"/>
              <w:right w:val="thinThickMediumGap" w:sz="24" w:space="0" w:color="000000"/>
            </w:tcBorders>
          </w:tcPr>
          <w:p w14:paraId="2894A63F" w14:textId="77777777" w:rsidR="00FE557C" w:rsidRPr="00185313" w:rsidRDefault="00FE557C" w:rsidP="0082001A">
            <w:pPr>
              <w:tabs>
                <w:tab w:val="left" w:pos="-810"/>
                <w:tab w:val="left" w:pos="0"/>
                <w:tab w:val="left" w:pos="9360"/>
              </w:tabs>
              <w:spacing w:before="59" w:line="235" w:lineRule="auto"/>
              <w:ind w:right="90"/>
              <w:jc w:val="both"/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eastAsia="ru-RU"/>
              </w:rPr>
              <w:t>Ініціювання Споживачем продовження (лонгації, пролонгації) строку погашення споживчого кредиту (строку виконання грошового зобов’язанн</w:t>
            </w:r>
            <w:r>
              <w:rPr>
                <w:rFonts w:ascii="TimesNewRomanPS" w:eastAsia="Times New Roman" w:hAnsi="TimesNewRomanPS" w:cs="Times New Roman" w:hint="eastAsia"/>
                <w:b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ru-RU" w:eastAsia="ru-RU"/>
              </w:rPr>
              <w:t>/</w:t>
            </w:r>
            <w:r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eastAsia="ru-RU"/>
              </w:rPr>
              <w:t>строку кредитування</w:t>
            </w:r>
            <w:r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ru-RU" w:eastAsia="ru-RU"/>
              </w:rPr>
              <w:t xml:space="preserve">/строку дії договору </w:t>
            </w:r>
            <w:r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 xml:space="preserve">про споживчий кредит здійснюється без змін </w:t>
            </w:r>
            <w:r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  <w:lang w:eastAsia="ru-RU"/>
              </w:rPr>
              <w:t>або зі зміною умов попередньо укладеного договору в бік погіршення для Споживача із зазначенням переліку та цифрового значення умов, що підлягають зміні.</w:t>
            </w:r>
          </w:p>
        </w:tc>
      </w:tr>
    </w:tbl>
    <w:p w14:paraId="2F9B8E2F" w14:textId="77777777" w:rsidR="00086704" w:rsidRPr="00086704" w:rsidRDefault="00086704">
      <w:pPr>
        <w:jc w:val="both"/>
        <w:rPr>
          <w:rFonts w:ascii="Times New Roman" w:hAnsi="Times New Roman" w:cs="Times New Roman"/>
        </w:rPr>
      </w:pPr>
    </w:p>
    <w:sectPr w:rsidR="00086704" w:rsidRPr="00086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04"/>
    <w:rsid w:val="00086704"/>
    <w:rsid w:val="008C0851"/>
    <w:rsid w:val="00C955AE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1EE5D"/>
  <w15:chartTrackingRefBased/>
  <w15:docId w15:val="{880F0CEB-1C79-3D4E-8AEE-C78C0608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7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TableGrid">
    <w:name w:val="Table Grid"/>
    <w:basedOn w:val="TableNormal"/>
    <w:uiPriority w:val="59"/>
    <w:rsid w:val="00FE557C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Галина Кучеренко</cp:lastModifiedBy>
  <cp:revision>4</cp:revision>
  <dcterms:created xsi:type="dcterms:W3CDTF">2023-03-31T10:10:00Z</dcterms:created>
  <dcterms:modified xsi:type="dcterms:W3CDTF">2023-10-29T19:52:00Z</dcterms:modified>
</cp:coreProperties>
</file>